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5" w:rsidRPr="00826CE3" w:rsidRDefault="001808E5" w:rsidP="00F16341">
      <w:pPr>
        <w:jc w:val="center"/>
        <w:rPr>
          <w:rFonts w:ascii="Verdana" w:hAnsi="Verdana"/>
          <w:b/>
          <w:u w:val="single"/>
        </w:rPr>
      </w:pPr>
      <w:r w:rsidRPr="00826CE3">
        <w:rPr>
          <w:rFonts w:ascii="Verdana" w:hAnsi="Verdana"/>
          <w:b/>
          <w:noProof/>
          <w:u w:val="single"/>
          <w:lang w:val="es-ES" w:eastAsia="es-ES"/>
        </w:rPr>
        <w:drawing>
          <wp:inline distT="0" distB="0" distL="0" distR="0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DC" w:rsidRPr="00826CE3" w:rsidRDefault="004C328A" w:rsidP="00F16341">
      <w:pPr>
        <w:jc w:val="center"/>
        <w:rPr>
          <w:rFonts w:ascii="Verdana" w:hAnsi="Verdana"/>
          <w:b/>
          <w:u w:val="single"/>
        </w:rPr>
      </w:pPr>
      <w:r w:rsidRPr="00826CE3">
        <w:rPr>
          <w:rFonts w:ascii="Verdana" w:hAnsi="Verdana"/>
          <w:b/>
          <w:u w:val="single"/>
        </w:rPr>
        <w:t>INSTRUCTIVO DE VALIDACION DE BERKLEY ART</w:t>
      </w:r>
    </w:p>
    <w:p w:rsidR="00E7615E" w:rsidRPr="00826CE3" w:rsidRDefault="00E7615E" w:rsidP="00F16341">
      <w:pPr>
        <w:jc w:val="center"/>
        <w:rPr>
          <w:rFonts w:ascii="Verdana" w:hAnsi="Verdana"/>
          <w:b/>
        </w:rPr>
      </w:pPr>
      <w:r w:rsidRPr="00826CE3">
        <w:rPr>
          <w:rFonts w:ascii="Verdana" w:hAnsi="Verdana"/>
          <w:b/>
        </w:rPr>
        <w:tab/>
      </w:r>
      <w:r w:rsidRPr="00826CE3">
        <w:rPr>
          <w:rFonts w:ascii="Verdana" w:hAnsi="Verdana"/>
          <w:b/>
        </w:rPr>
        <w:tab/>
      </w:r>
      <w:r w:rsidRPr="00826CE3">
        <w:rPr>
          <w:rFonts w:ascii="Verdana" w:hAnsi="Verdana"/>
          <w:b/>
        </w:rPr>
        <w:tab/>
      </w:r>
      <w:r w:rsidRPr="00826CE3">
        <w:rPr>
          <w:rFonts w:ascii="Verdana" w:hAnsi="Verdana"/>
          <w:b/>
        </w:rPr>
        <w:tab/>
      </w:r>
      <w:r w:rsidRPr="00826CE3">
        <w:rPr>
          <w:rFonts w:ascii="Verdana" w:hAnsi="Verdana"/>
          <w:b/>
        </w:rPr>
        <w:tab/>
      </w:r>
      <w:r w:rsidRPr="00826CE3">
        <w:rPr>
          <w:rFonts w:ascii="Verdana" w:hAnsi="Verdana"/>
          <w:b/>
        </w:rPr>
        <w:tab/>
      </w:r>
      <w:r w:rsidRPr="00826CE3">
        <w:rPr>
          <w:rFonts w:ascii="Verdana" w:hAnsi="Verdana"/>
          <w:b/>
        </w:rPr>
        <w:tab/>
        <w:t>0</w:t>
      </w:r>
      <w:r w:rsidR="002C1B64" w:rsidRPr="00826CE3">
        <w:rPr>
          <w:rFonts w:ascii="Verdana" w:hAnsi="Verdana"/>
          <w:b/>
        </w:rPr>
        <w:t>1</w:t>
      </w:r>
      <w:r w:rsidR="009E4A01" w:rsidRPr="00826CE3">
        <w:rPr>
          <w:rFonts w:ascii="Verdana" w:hAnsi="Verdana"/>
          <w:b/>
        </w:rPr>
        <w:t>/</w:t>
      </w:r>
      <w:r w:rsidR="002C1B64" w:rsidRPr="00826CE3">
        <w:rPr>
          <w:rFonts w:ascii="Verdana" w:hAnsi="Verdana"/>
          <w:b/>
        </w:rPr>
        <w:t>1</w:t>
      </w:r>
      <w:r w:rsidR="009E4A01" w:rsidRPr="00826CE3">
        <w:rPr>
          <w:rFonts w:ascii="Verdana" w:hAnsi="Verdana"/>
          <w:b/>
        </w:rPr>
        <w:t>0</w:t>
      </w:r>
      <w:r w:rsidRPr="00826CE3">
        <w:rPr>
          <w:rFonts w:ascii="Verdana" w:hAnsi="Verdana"/>
          <w:b/>
        </w:rPr>
        <w:t>/</w:t>
      </w:r>
      <w:r w:rsidR="009E4A01" w:rsidRPr="00826CE3">
        <w:rPr>
          <w:rFonts w:ascii="Verdana" w:hAnsi="Verdana"/>
          <w:b/>
        </w:rPr>
        <w:t>2</w:t>
      </w:r>
      <w:r w:rsidR="002C1B64" w:rsidRPr="00826CE3">
        <w:rPr>
          <w:rFonts w:ascii="Verdana" w:hAnsi="Verdana"/>
          <w:b/>
        </w:rPr>
        <w:t>4</w:t>
      </w:r>
    </w:p>
    <w:p w:rsidR="004C328A" w:rsidRPr="00826CE3" w:rsidRDefault="004C328A" w:rsidP="00BC6343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826CE3">
        <w:rPr>
          <w:rFonts w:ascii="Verdana" w:hAnsi="Verdana"/>
        </w:rPr>
        <w:t xml:space="preserve">El ingreso al sistema se deberá hacer </w:t>
      </w:r>
      <w:r w:rsidR="000748DE" w:rsidRPr="00826CE3">
        <w:rPr>
          <w:rFonts w:ascii="Verdana" w:hAnsi="Verdana"/>
        </w:rPr>
        <w:t xml:space="preserve">a través del siguiente enlace </w:t>
      </w:r>
      <w:hyperlink r:id="rId6" w:history="1">
        <w:r w:rsidR="000748DE" w:rsidRPr="00826CE3">
          <w:rPr>
            <w:rStyle w:val="Hipervnculo"/>
            <w:rFonts w:ascii="Verdana" w:hAnsi="Verdana"/>
          </w:rPr>
          <w:t>https://principal.cofa.org.ar/</w:t>
        </w:r>
      </w:hyperlink>
      <w:r w:rsidR="000748DE" w:rsidRPr="00826CE3">
        <w:rPr>
          <w:rFonts w:ascii="Verdana" w:hAnsi="Verdana"/>
        </w:rPr>
        <w:t xml:space="preserve"> </w:t>
      </w:r>
      <w:r w:rsidRPr="00826CE3">
        <w:rPr>
          <w:rFonts w:ascii="Verdana" w:hAnsi="Verdana"/>
        </w:rPr>
        <w:t>de la misma manera que se ingresa para validar las otras obras sociales.</w:t>
      </w:r>
    </w:p>
    <w:p w:rsidR="00584104" w:rsidRPr="00826CE3" w:rsidRDefault="00584104" w:rsidP="00BC6343">
      <w:pPr>
        <w:pStyle w:val="Prrafodelista"/>
        <w:ind w:left="1065"/>
        <w:jc w:val="both"/>
        <w:rPr>
          <w:rFonts w:ascii="Verdana" w:hAnsi="Verdana"/>
        </w:rPr>
      </w:pPr>
    </w:p>
    <w:p w:rsidR="004C328A" w:rsidRPr="00826CE3" w:rsidRDefault="004C328A" w:rsidP="00BC6343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826CE3">
        <w:rPr>
          <w:rFonts w:ascii="Verdana" w:hAnsi="Verdana"/>
        </w:rPr>
        <w:t>En l</w:t>
      </w:r>
      <w:r w:rsidR="00BC6343" w:rsidRPr="00826CE3">
        <w:rPr>
          <w:rFonts w:ascii="Verdana" w:hAnsi="Verdana"/>
        </w:rPr>
        <w:t>a</w:t>
      </w:r>
      <w:r w:rsidRPr="00826CE3">
        <w:rPr>
          <w:rFonts w:ascii="Verdana" w:hAnsi="Verdana"/>
        </w:rPr>
        <w:t xml:space="preserve">s </w:t>
      </w:r>
      <w:r w:rsidR="00BC6343" w:rsidRPr="00826CE3">
        <w:rPr>
          <w:rFonts w:ascii="Verdana" w:hAnsi="Verdana"/>
        </w:rPr>
        <w:t>opcione</w:t>
      </w:r>
      <w:r w:rsidRPr="00826CE3">
        <w:rPr>
          <w:rFonts w:ascii="Verdana" w:hAnsi="Verdana"/>
        </w:rPr>
        <w:t xml:space="preserve">s, se deberá </w:t>
      </w:r>
      <w:r w:rsidR="00630F13" w:rsidRPr="00826CE3">
        <w:rPr>
          <w:rFonts w:ascii="Verdana" w:hAnsi="Verdana"/>
        </w:rPr>
        <w:t>ubica</w:t>
      </w:r>
      <w:r w:rsidR="009D1DFF" w:rsidRPr="00826CE3">
        <w:rPr>
          <w:rFonts w:ascii="Verdana" w:hAnsi="Verdana"/>
        </w:rPr>
        <w:t xml:space="preserve">r </w:t>
      </w:r>
      <w:r w:rsidRPr="00826CE3">
        <w:rPr>
          <w:rFonts w:ascii="Verdana" w:hAnsi="Verdana"/>
        </w:rPr>
        <w:t>l</w:t>
      </w:r>
      <w:r w:rsidR="009D1DFF" w:rsidRPr="00826CE3">
        <w:rPr>
          <w:rFonts w:ascii="Verdana" w:hAnsi="Verdana"/>
        </w:rPr>
        <w:t>a</w:t>
      </w:r>
      <w:r w:rsidRPr="00826CE3">
        <w:rPr>
          <w:rFonts w:ascii="Verdana" w:hAnsi="Verdana"/>
        </w:rPr>
        <w:t xml:space="preserve"> de </w:t>
      </w:r>
      <w:proofErr w:type="spellStart"/>
      <w:r w:rsidRPr="00826CE3">
        <w:rPr>
          <w:rFonts w:ascii="Verdana" w:hAnsi="Verdana"/>
        </w:rPr>
        <w:t>Berkley</w:t>
      </w:r>
      <w:proofErr w:type="spellEnd"/>
      <w:r w:rsidRPr="00826CE3">
        <w:rPr>
          <w:rFonts w:ascii="Verdana" w:hAnsi="Verdana"/>
        </w:rPr>
        <w:t xml:space="preserve"> ART e ingresar.</w:t>
      </w:r>
    </w:p>
    <w:p w:rsidR="00584104" w:rsidRPr="00826CE3" w:rsidRDefault="00584104" w:rsidP="00BC6343">
      <w:pPr>
        <w:pStyle w:val="Prrafodelista"/>
        <w:jc w:val="both"/>
        <w:rPr>
          <w:rFonts w:ascii="Verdana" w:hAnsi="Verdana"/>
        </w:rPr>
      </w:pPr>
    </w:p>
    <w:p w:rsidR="004C328A" w:rsidRPr="00826CE3" w:rsidRDefault="00826CE3" w:rsidP="00BC6343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826CE3">
        <w:rPr>
          <w:rFonts w:ascii="Verdana" w:hAnsi="Verdana"/>
        </w:rPr>
        <w:t xml:space="preserve">Una vez ingresado, se deberá </w:t>
      </w:r>
      <w:r w:rsidR="004C328A" w:rsidRPr="00826CE3">
        <w:rPr>
          <w:rFonts w:ascii="Verdana" w:hAnsi="Verdana"/>
        </w:rPr>
        <w:t xml:space="preserve">completar los datos, </w:t>
      </w:r>
      <w:r w:rsidR="00031362" w:rsidRPr="00826CE3">
        <w:rPr>
          <w:rFonts w:ascii="Verdana" w:hAnsi="Verdana"/>
        </w:rPr>
        <w:t xml:space="preserve">fechas, </w:t>
      </w:r>
      <w:r w:rsidR="004C328A" w:rsidRPr="00826CE3">
        <w:rPr>
          <w:rFonts w:ascii="Verdana" w:hAnsi="Verdana"/>
        </w:rPr>
        <w:t>DNI del asegurado</w:t>
      </w:r>
      <w:r w:rsidRPr="00826CE3">
        <w:rPr>
          <w:rFonts w:ascii="Verdana" w:hAnsi="Verdana"/>
        </w:rPr>
        <w:t xml:space="preserve">, nombre, Siniestro, </w:t>
      </w:r>
      <w:r w:rsidR="00031362" w:rsidRPr="00826CE3">
        <w:rPr>
          <w:rFonts w:ascii="Verdana" w:hAnsi="Verdana"/>
        </w:rPr>
        <w:t>matricula del médico y troquel</w:t>
      </w:r>
      <w:r w:rsidR="004C328A" w:rsidRPr="00826CE3">
        <w:rPr>
          <w:rFonts w:ascii="Verdana" w:hAnsi="Verdana"/>
        </w:rPr>
        <w:t>.</w:t>
      </w:r>
      <w:r w:rsidR="00F16341" w:rsidRPr="00826CE3">
        <w:rPr>
          <w:rFonts w:ascii="Verdana" w:hAnsi="Verdana"/>
        </w:rPr>
        <w:t xml:space="preserve"> </w:t>
      </w:r>
      <w:r w:rsidR="00031362" w:rsidRPr="00826CE3">
        <w:rPr>
          <w:rFonts w:ascii="Verdana" w:hAnsi="Verdana"/>
        </w:rPr>
        <w:t xml:space="preserve"> </w:t>
      </w:r>
      <w:r w:rsidR="00584104" w:rsidRPr="00826CE3">
        <w:rPr>
          <w:rFonts w:ascii="Verdana" w:hAnsi="Verdana"/>
        </w:rPr>
        <w:t xml:space="preserve">  </w:t>
      </w:r>
      <w:r w:rsidR="00031362" w:rsidRPr="00826CE3">
        <w:rPr>
          <w:rFonts w:ascii="Verdana" w:hAnsi="Verdana"/>
        </w:rPr>
        <w:t>Sobre el lado derecho se podrá visualizar una ventana de ayuda.</w:t>
      </w:r>
      <w:r w:rsidR="00EC19A2" w:rsidRPr="00826CE3">
        <w:rPr>
          <w:rFonts w:ascii="Verdana" w:hAnsi="Verdana"/>
        </w:rPr>
        <w:t xml:space="preserve"> Si el sistema no reconoce datos de DNI será porque el ase</w:t>
      </w:r>
      <w:r w:rsidR="00BC6343" w:rsidRPr="00826CE3">
        <w:rPr>
          <w:rFonts w:ascii="Verdana" w:hAnsi="Verdana"/>
        </w:rPr>
        <w:t>gurado no ha sido informado, por lo tanto no tendrá cobertura.</w:t>
      </w:r>
    </w:p>
    <w:p w:rsidR="00584104" w:rsidRPr="00826CE3" w:rsidRDefault="00584104" w:rsidP="00584104">
      <w:pPr>
        <w:pStyle w:val="Prrafodelista"/>
        <w:ind w:left="1065"/>
        <w:rPr>
          <w:rFonts w:ascii="Verdana" w:hAnsi="Verdana"/>
        </w:rPr>
      </w:pPr>
    </w:p>
    <w:p w:rsidR="00BC6343" w:rsidRPr="00826CE3" w:rsidRDefault="00BC6343" w:rsidP="00BC6343">
      <w:pPr>
        <w:jc w:val="both"/>
        <w:rPr>
          <w:rFonts w:ascii="Verdana" w:hAnsi="Verdana"/>
          <w:i/>
        </w:rPr>
      </w:pPr>
      <w:r w:rsidRPr="00826CE3">
        <w:rPr>
          <w:rFonts w:ascii="Verdana" w:hAnsi="Verdana"/>
          <w:i/>
        </w:rPr>
        <w:t>SI HAY PRESCRIPCIÓN D</w:t>
      </w:r>
      <w:r w:rsidR="00584104" w:rsidRPr="00826CE3">
        <w:rPr>
          <w:rFonts w:ascii="Verdana" w:hAnsi="Verdana"/>
          <w:i/>
        </w:rPr>
        <w:t xml:space="preserve">E ACCESORIOS: </w:t>
      </w:r>
    </w:p>
    <w:p w:rsidR="004C328A" w:rsidRPr="00826CE3" w:rsidRDefault="004C328A" w:rsidP="00BC6343">
      <w:pPr>
        <w:ind w:firstLine="708"/>
        <w:jc w:val="both"/>
        <w:rPr>
          <w:rFonts w:ascii="Verdana" w:hAnsi="Verdana"/>
          <w:i/>
        </w:rPr>
      </w:pPr>
      <w:r w:rsidRPr="00826CE3">
        <w:rPr>
          <w:rFonts w:ascii="Verdana" w:hAnsi="Verdana"/>
          <w:i/>
        </w:rPr>
        <w:t xml:space="preserve">Si </w:t>
      </w:r>
      <w:r w:rsidR="00BC6343" w:rsidRPr="00826CE3">
        <w:rPr>
          <w:rFonts w:ascii="Verdana" w:hAnsi="Verdana"/>
          <w:i/>
        </w:rPr>
        <w:t xml:space="preserve">en la receta se </w:t>
      </w:r>
      <w:r w:rsidRPr="00826CE3">
        <w:rPr>
          <w:rFonts w:ascii="Verdana" w:hAnsi="Verdana"/>
          <w:i/>
        </w:rPr>
        <w:t xml:space="preserve">hubiere prescripto </w:t>
      </w:r>
      <w:r w:rsidR="00F16341" w:rsidRPr="00826CE3">
        <w:rPr>
          <w:rFonts w:ascii="Verdana" w:hAnsi="Verdana"/>
          <w:i/>
        </w:rPr>
        <w:t>algún</w:t>
      </w:r>
      <w:r w:rsidRPr="00826CE3">
        <w:rPr>
          <w:rFonts w:ascii="Verdana" w:hAnsi="Verdana"/>
          <w:i/>
        </w:rPr>
        <w:t xml:space="preserve"> accesorio o elemento de curación, se deberá completar con </w:t>
      </w:r>
      <w:r w:rsidR="009E4A01" w:rsidRPr="00826CE3">
        <w:rPr>
          <w:rFonts w:ascii="Verdana" w:hAnsi="Verdana"/>
          <w:i/>
        </w:rPr>
        <w:t xml:space="preserve">seis </w:t>
      </w:r>
      <w:r w:rsidR="00031362" w:rsidRPr="00826CE3">
        <w:rPr>
          <w:rFonts w:ascii="Verdana" w:hAnsi="Verdana"/>
          <w:i/>
        </w:rPr>
        <w:t>números</w:t>
      </w:r>
      <w:r w:rsidRPr="00826CE3">
        <w:rPr>
          <w:rFonts w:ascii="Verdana" w:hAnsi="Verdana"/>
          <w:i/>
        </w:rPr>
        <w:t xml:space="preserve"> nueve</w:t>
      </w:r>
      <w:r w:rsidR="009E4A01" w:rsidRPr="00826CE3">
        <w:rPr>
          <w:rFonts w:ascii="Verdana" w:hAnsi="Verdana"/>
          <w:i/>
        </w:rPr>
        <w:t xml:space="preserve"> (999999</w:t>
      </w:r>
      <w:r w:rsidR="00584104" w:rsidRPr="00826CE3">
        <w:rPr>
          <w:rFonts w:ascii="Verdana" w:hAnsi="Verdana"/>
          <w:i/>
        </w:rPr>
        <w:t>)</w:t>
      </w:r>
      <w:r w:rsidR="001F22D9" w:rsidRPr="00826CE3">
        <w:rPr>
          <w:rFonts w:ascii="Verdana" w:hAnsi="Verdana"/>
          <w:i/>
        </w:rPr>
        <w:t xml:space="preserve"> el campo de “Troquel o nombre”</w:t>
      </w:r>
      <w:r w:rsidR="00F16341" w:rsidRPr="00826CE3">
        <w:rPr>
          <w:rFonts w:ascii="Verdana" w:hAnsi="Verdana"/>
          <w:i/>
        </w:rPr>
        <w:t xml:space="preserve">, al </w:t>
      </w:r>
      <w:r w:rsidR="00584104" w:rsidRPr="00826CE3">
        <w:rPr>
          <w:rFonts w:ascii="Verdana" w:hAnsi="Verdana"/>
          <w:i/>
        </w:rPr>
        <w:t xml:space="preserve"> </w:t>
      </w:r>
      <w:r w:rsidR="00F16341" w:rsidRPr="00826CE3">
        <w:rPr>
          <w:rFonts w:ascii="Verdana" w:hAnsi="Verdana"/>
          <w:i/>
        </w:rPr>
        <w:t>hacerlo,</w:t>
      </w:r>
      <w:r w:rsidRPr="00826CE3">
        <w:rPr>
          <w:rFonts w:ascii="Verdana" w:hAnsi="Verdana"/>
          <w:i/>
        </w:rPr>
        <w:t xml:space="preserve"> en el margen derecho</w:t>
      </w:r>
      <w:r w:rsidR="00031362" w:rsidRPr="00826CE3">
        <w:rPr>
          <w:rFonts w:ascii="Verdana" w:hAnsi="Verdana"/>
          <w:i/>
        </w:rPr>
        <w:t xml:space="preserve"> </w:t>
      </w:r>
      <w:r w:rsidRPr="00826CE3">
        <w:rPr>
          <w:rFonts w:ascii="Verdana" w:hAnsi="Verdana"/>
          <w:i/>
        </w:rPr>
        <w:t xml:space="preserve"> la ventana de ayuda </w:t>
      </w:r>
      <w:r w:rsidR="00031362" w:rsidRPr="00826CE3">
        <w:rPr>
          <w:rFonts w:ascii="Verdana" w:hAnsi="Verdana"/>
          <w:i/>
        </w:rPr>
        <w:t>desplegará</w:t>
      </w:r>
      <w:r w:rsidRPr="00826CE3">
        <w:rPr>
          <w:rFonts w:ascii="Verdana" w:hAnsi="Verdana"/>
          <w:i/>
        </w:rPr>
        <w:t xml:space="preserve"> distintos accesorios.</w:t>
      </w:r>
    </w:p>
    <w:p w:rsidR="00826CE3" w:rsidRPr="00826CE3" w:rsidRDefault="00826CE3" w:rsidP="00826C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826CE3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9999996 ACCESORIOS</w:t>
      </w:r>
    </w:p>
    <w:p w:rsidR="00826CE3" w:rsidRPr="00826CE3" w:rsidRDefault="00826CE3" w:rsidP="00826C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826CE3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9999997 MATERIAL DESCARTABLE</w:t>
      </w:r>
    </w:p>
    <w:p w:rsidR="00826CE3" w:rsidRPr="00826CE3" w:rsidRDefault="00826CE3" w:rsidP="00826C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826CE3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9999998 LECHES</w:t>
      </w:r>
    </w:p>
    <w:p w:rsidR="00826CE3" w:rsidRPr="00826CE3" w:rsidRDefault="00826CE3" w:rsidP="00826CE3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826CE3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9999999 PAÑALES</w:t>
      </w:r>
    </w:p>
    <w:p w:rsidR="00826CE3" w:rsidRPr="00826CE3" w:rsidRDefault="00826CE3" w:rsidP="00826CE3">
      <w:pPr>
        <w:jc w:val="both"/>
        <w:rPr>
          <w:rFonts w:ascii="Verdana" w:hAnsi="Verdana"/>
          <w:i/>
        </w:rPr>
      </w:pPr>
    </w:p>
    <w:p w:rsidR="004C328A" w:rsidRPr="00826CE3" w:rsidRDefault="004C328A" w:rsidP="00BC6343">
      <w:pPr>
        <w:jc w:val="both"/>
        <w:rPr>
          <w:rFonts w:ascii="Verdana" w:hAnsi="Verdana"/>
          <w:i/>
        </w:rPr>
      </w:pPr>
      <w:r w:rsidRPr="00826CE3">
        <w:rPr>
          <w:rFonts w:ascii="Verdana" w:hAnsi="Verdana"/>
          <w:i/>
        </w:rPr>
        <w:tab/>
        <w:t>De allí se po</w:t>
      </w:r>
      <w:r w:rsidR="001F22D9" w:rsidRPr="00826CE3">
        <w:rPr>
          <w:rFonts w:ascii="Verdana" w:hAnsi="Verdana"/>
          <w:i/>
        </w:rPr>
        <w:t>drá elegir un</w:t>
      </w:r>
      <w:r w:rsidR="00EC19A2" w:rsidRPr="00826CE3">
        <w:rPr>
          <w:rFonts w:ascii="Verdana" w:hAnsi="Verdana"/>
          <w:i/>
        </w:rPr>
        <w:t>o de esos accesorios</w:t>
      </w:r>
      <w:r w:rsidR="001F22D9" w:rsidRPr="00826CE3">
        <w:rPr>
          <w:rFonts w:ascii="Verdana" w:hAnsi="Verdana"/>
          <w:i/>
        </w:rPr>
        <w:t xml:space="preserve"> (cualquiera</w:t>
      </w:r>
      <w:r w:rsidRPr="00826CE3">
        <w:rPr>
          <w:rFonts w:ascii="Verdana" w:hAnsi="Verdana"/>
          <w:i/>
        </w:rPr>
        <w:t xml:space="preserve">) y a continuación se deberá completar el </w:t>
      </w:r>
      <w:r w:rsidR="001F22D9" w:rsidRPr="00826CE3">
        <w:rPr>
          <w:rFonts w:ascii="Verdana" w:hAnsi="Verdana"/>
          <w:i/>
        </w:rPr>
        <w:t xml:space="preserve">campo </w:t>
      </w:r>
      <w:r w:rsidR="00826CE3">
        <w:rPr>
          <w:rFonts w:ascii="Verdana" w:hAnsi="Verdana"/>
          <w:i/>
        </w:rPr>
        <w:t xml:space="preserve">“Cantidad Dispensada” y </w:t>
      </w:r>
      <w:r w:rsidR="001F22D9" w:rsidRPr="00826CE3">
        <w:rPr>
          <w:rFonts w:ascii="Verdana" w:hAnsi="Verdana"/>
          <w:i/>
        </w:rPr>
        <w:t>“Precio Unitario”</w:t>
      </w:r>
      <w:r w:rsidRPr="00826CE3">
        <w:rPr>
          <w:rFonts w:ascii="Verdana" w:hAnsi="Verdana"/>
          <w:i/>
        </w:rPr>
        <w:t xml:space="preserve"> de</w:t>
      </w:r>
      <w:r w:rsidR="00E34555" w:rsidRPr="00826CE3">
        <w:rPr>
          <w:rFonts w:ascii="Verdana" w:hAnsi="Verdana"/>
          <w:i/>
        </w:rPr>
        <w:t>l accesorio prescripto</w:t>
      </w:r>
      <w:r w:rsidRPr="00826CE3">
        <w:rPr>
          <w:rFonts w:ascii="Verdana" w:hAnsi="Verdana"/>
          <w:i/>
        </w:rPr>
        <w:t>.</w:t>
      </w:r>
    </w:p>
    <w:p w:rsidR="004C328A" w:rsidRPr="00826CE3" w:rsidRDefault="00E34555" w:rsidP="00BC6343">
      <w:pPr>
        <w:jc w:val="both"/>
        <w:rPr>
          <w:rFonts w:ascii="Verdana" w:hAnsi="Verdana"/>
          <w:i/>
        </w:rPr>
      </w:pPr>
      <w:r w:rsidRPr="00826CE3">
        <w:rPr>
          <w:rFonts w:ascii="Verdana" w:hAnsi="Verdana"/>
          <w:i/>
        </w:rPr>
        <w:tab/>
        <w:t>Si el valor del</w:t>
      </w:r>
      <w:r w:rsidR="004C328A" w:rsidRPr="00826CE3">
        <w:rPr>
          <w:rFonts w:ascii="Verdana" w:hAnsi="Verdana"/>
          <w:i/>
        </w:rPr>
        <w:t xml:space="preserve"> </w:t>
      </w:r>
      <w:r w:rsidR="007546E3" w:rsidRPr="00826CE3">
        <w:rPr>
          <w:rFonts w:ascii="Verdana" w:hAnsi="Verdana"/>
          <w:i/>
        </w:rPr>
        <w:t xml:space="preserve">/los </w:t>
      </w:r>
      <w:r w:rsidR="004C328A" w:rsidRPr="00826CE3">
        <w:rPr>
          <w:rFonts w:ascii="Verdana" w:hAnsi="Verdana"/>
          <w:i/>
        </w:rPr>
        <w:t>accesorio</w:t>
      </w:r>
      <w:r w:rsidR="007546E3" w:rsidRPr="00826CE3">
        <w:rPr>
          <w:rFonts w:ascii="Verdana" w:hAnsi="Verdana"/>
          <w:i/>
        </w:rPr>
        <w:t>/s</w:t>
      </w:r>
      <w:r w:rsidR="004C328A" w:rsidRPr="00826CE3">
        <w:rPr>
          <w:rFonts w:ascii="Verdana" w:hAnsi="Verdana"/>
          <w:i/>
        </w:rPr>
        <w:t xml:space="preserve"> </w:t>
      </w:r>
      <w:r w:rsidRPr="00826CE3">
        <w:rPr>
          <w:rFonts w:ascii="Verdana" w:hAnsi="Verdana"/>
          <w:i/>
        </w:rPr>
        <w:t>prescripto</w:t>
      </w:r>
      <w:r w:rsidR="007546E3" w:rsidRPr="00826CE3">
        <w:rPr>
          <w:rFonts w:ascii="Verdana" w:hAnsi="Verdana"/>
          <w:i/>
        </w:rPr>
        <w:t>/s</w:t>
      </w:r>
      <w:r w:rsidRPr="00826CE3">
        <w:rPr>
          <w:rFonts w:ascii="Verdana" w:hAnsi="Verdana"/>
          <w:i/>
        </w:rPr>
        <w:t xml:space="preserve"> </w:t>
      </w:r>
      <w:r w:rsidR="002C1B64" w:rsidRPr="00826CE3">
        <w:rPr>
          <w:rFonts w:ascii="Verdana" w:hAnsi="Verdana"/>
          <w:i/>
        </w:rPr>
        <w:t>supera  los $ 100.000</w:t>
      </w:r>
      <w:r w:rsidR="009E4A01" w:rsidRPr="00826CE3">
        <w:rPr>
          <w:rFonts w:ascii="Verdana" w:hAnsi="Verdana"/>
          <w:i/>
        </w:rPr>
        <w:t xml:space="preserve">.- (pesos </w:t>
      </w:r>
      <w:r w:rsidR="002C1B64" w:rsidRPr="00826CE3">
        <w:rPr>
          <w:rFonts w:ascii="Verdana" w:hAnsi="Verdana"/>
          <w:i/>
        </w:rPr>
        <w:t>cien</w:t>
      </w:r>
      <w:r w:rsidR="004C328A" w:rsidRPr="00826CE3">
        <w:rPr>
          <w:rFonts w:ascii="Verdana" w:hAnsi="Verdana"/>
          <w:i/>
        </w:rPr>
        <w:t xml:space="preserve"> mil), el sistema le pondrá un aviso para solicitar autorización a la Aseguradora</w:t>
      </w:r>
      <w:r w:rsidR="001F22D9" w:rsidRPr="00826CE3">
        <w:rPr>
          <w:rFonts w:ascii="Verdana" w:hAnsi="Verdana"/>
          <w:i/>
        </w:rPr>
        <w:t>, (al 0800-333-3031)</w:t>
      </w:r>
      <w:r w:rsidR="004C328A" w:rsidRPr="00826CE3">
        <w:rPr>
          <w:rFonts w:ascii="Verdana" w:hAnsi="Verdana"/>
          <w:i/>
        </w:rPr>
        <w:t>.</w:t>
      </w:r>
    </w:p>
    <w:p w:rsidR="00EC19A2" w:rsidRPr="00826CE3" w:rsidRDefault="00EC19A2" w:rsidP="00BC6343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826CE3">
        <w:rPr>
          <w:rFonts w:ascii="Verdana" w:hAnsi="Verdana"/>
        </w:rPr>
        <w:t xml:space="preserve">Completados </w:t>
      </w:r>
      <w:r w:rsidR="00E7615E" w:rsidRPr="00826CE3">
        <w:rPr>
          <w:rFonts w:ascii="Verdana" w:hAnsi="Verdana"/>
        </w:rPr>
        <w:t xml:space="preserve">todos </w:t>
      </w:r>
      <w:r w:rsidRPr="00826CE3">
        <w:rPr>
          <w:rFonts w:ascii="Verdana" w:hAnsi="Verdana"/>
        </w:rPr>
        <w:t xml:space="preserve">los datos </w:t>
      </w:r>
      <w:r w:rsidR="00E7615E" w:rsidRPr="00826CE3">
        <w:rPr>
          <w:rFonts w:ascii="Verdana" w:hAnsi="Verdana"/>
        </w:rPr>
        <w:t xml:space="preserve">de la receta, </w:t>
      </w:r>
      <w:r w:rsidRPr="00826CE3">
        <w:rPr>
          <w:rFonts w:ascii="Verdana" w:hAnsi="Verdana"/>
        </w:rPr>
        <w:t>se deberá Aceptar  y luego Validar.</w:t>
      </w:r>
    </w:p>
    <w:p w:rsidR="00EC19A2" w:rsidRPr="00826CE3" w:rsidRDefault="00EC19A2" w:rsidP="00EC19A2">
      <w:pPr>
        <w:pStyle w:val="Prrafodelista"/>
        <w:rPr>
          <w:rFonts w:ascii="Verdana" w:hAnsi="Verdana"/>
        </w:rPr>
      </w:pPr>
    </w:p>
    <w:p w:rsidR="00EC19A2" w:rsidRPr="00826CE3" w:rsidRDefault="00EC19A2" w:rsidP="00EC19A2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826CE3">
        <w:rPr>
          <w:rFonts w:ascii="Verdana" w:hAnsi="Verdana"/>
        </w:rPr>
        <w:t>Al finalizar el periodo de facturación se confeccionará la Caratula de lote ingresando a “Preparación de Caratula”</w:t>
      </w:r>
    </w:p>
    <w:p w:rsidR="00EC19A2" w:rsidRPr="001808E5" w:rsidRDefault="00EC19A2">
      <w:pPr>
        <w:rPr>
          <w:rFonts w:ascii="Arial Rounded MT Bold" w:hAnsi="Arial Rounded MT Bold"/>
        </w:rPr>
      </w:pPr>
    </w:p>
    <w:sectPr w:rsidR="00EC19A2" w:rsidRPr="001808E5" w:rsidSect="0077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28A"/>
    <w:rsid w:val="00031362"/>
    <w:rsid w:val="00060029"/>
    <w:rsid w:val="000748DE"/>
    <w:rsid w:val="001808E5"/>
    <w:rsid w:val="001F22D9"/>
    <w:rsid w:val="002C1B64"/>
    <w:rsid w:val="004C328A"/>
    <w:rsid w:val="00584104"/>
    <w:rsid w:val="005B46FA"/>
    <w:rsid w:val="00607392"/>
    <w:rsid w:val="00630F13"/>
    <w:rsid w:val="0071250E"/>
    <w:rsid w:val="007546E3"/>
    <w:rsid w:val="00771ADC"/>
    <w:rsid w:val="007C5430"/>
    <w:rsid w:val="00826CE3"/>
    <w:rsid w:val="009D1DFF"/>
    <w:rsid w:val="009E4A01"/>
    <w:rsid w:val="00BC6343"/>
    <w:rsid w:val="00C32DFA"/>
    <w:rsid w:val="00DF21AB"/>
    <w:rsid w:val="00E00424"/>
    <w:rsid w:val="00E34555"/>
    <w:rsid w:val="00E7615E"/>
    <w:rsid w:val="00EC19A2"/>
    <w:rsid w:val="00F16341"/>
    <w:rsid w:val="00F5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4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ncipal.cofa.org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cristian</cp:lastModifiedBy>
  <cp:revision>5</cp:revision>
  <dcterms:created xsi:type="dcterms:W3CDTF">2024-10-01T13:53:00Z</dcterms:created>
  <dcterms:modified xsi:type="dcterms:W3CDTF">2024-10-15T14:22:00Z</dcterms:modified>
</cp:coreProperties>
</file>